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A89" w:rsidRDefault="00C13A89" w:rsidP="00482F43">
      <w:pPr>
        <w:jc w:val="center"/>
        <w:rPr>
          <w:b/>
          <w:sz w:val="32"/>
          <w:szCs w:val="32"/>
        </w:rPr>
      </w:pPr>
    </w:p>
    <w:p w:rsidR="001F74A0" w:rsidRPr="00FD2C11" w:rsidRDefault="00E2666D" w:rsidP="00482F43">
      <w:pPr>
        <w:jc w:val="center"/>
        <w:rPr>
          <w:sz w:val="32"/>
          <w:szCs w:val="32"/>
        </w:rPr>
      </w:pPr>
      <w:r>
        <w:rPr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.1pt;margin-top:49.7pt;width:77.3pt;height:107.6pt;z-index:251657728;mso-position-vertical-relative:page" o:allowincell="f">
            <v:imagedata r:id="rId6" o:title=""/>
            <w10:wrap type="square" anchory="page"/>
          </v:shape>
          <o:OLEObject Type="Embed" ProgID="MSPhotoEd.3" ShapeID="_x0000_s1026" DrawAspect="Content" ObjectID="_1604153987" r:id="rId7"/>
        </w:pict>
      </w:r>
      <w:r w:rsidR="00482F43" w:rsidRPr="00FD2C11">
        <w:rPr>
          <w:sz w:val="32"/>
          <w:szCs w:val="32"/>
        </w:rPr>
        <w:t>FORMULÁRIO DE COMENTÁRIOS E SUGESTÕES</w:t>
      </w:r>
    </w:p>
    <w:p w:rsidR="00C13A89" w:rsidRPr="0096568C" w:rsidRDefault="00C96874" w:rsidP="00BB004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TOMADA PÚBLICA DE CONTRIBUIÇÕES </w:t>
      </w:r>
      <w:r w:rsidR="00482F43" w:rsidRPr="00BB004F">
        <w:rPr>
          <w:sz w:val="26"/>
          <w:szCs w:val="26"/>
        </w:rPr>
        <w:t>N°</w:t>
      </w:r>
      <w:r w:rsidR="00C13A89">
        <w:rPr>
          <w:sz w:val="26"/>
          <w:szCs w:val="26"/>
        </w:rPr>
        <w:t xml:space="preserve"> </w:t>
      </w:r>
      <w:r w:rsidR="0096568C">
        <w:rPr>
          <w:sz w:val="26"/>
          <w:szCs w:val="26"/>
        </w:rPr>
        <w:t>3</w:t>
      </w:r>
      <w:r w:rsidR="00482F43" w:rsidRPr="00050F3F">
        <w:rPr>
          <w:sz w:val="26"/>
          <w:szCs w:val="26"/>
        </w:rPr>
        <w:t>/</w:t>
      </w:r>
      <w:r w:rsidR="00F229D8" w:rsidRPr="00050F3F">
        <w:rPr>
          <w:sz w:val="26"/>
          <w:szCs w:val="26"/>
        </w:rPr>
        <w:t>201</w:t>
      </w:r>
      <w:r w:rsidR="00CC5472">
        <w:rPr>
          <w:sz w:val="26"/>
          <w:szCs w:val="26"/>
        </w:rPr>
        <w:t>8</w:t>
      </w:r>
      <w:r w:rsidR="00C13A89" w:rsidRPr="0096568C">
        <w:rPr>
          <w:sz w:val="26"/>
          <w:szCs w:val="26"/>
        </w:rPr>
        <w:t>__</w:t>
      </w:r>
      <w:r w:rsidR="00482F43" w:rsidRPr="0096568C">
        <w:rPr>
          <w:sz w:val="26"/>
          <w:szCs w:val="26"/>
        </w:rPr>
        <w:t xml:space="preserve">__ - </w:t>
      </w:r>
      <w:r w:rsidR="00BB004F" w:rsidRPr="0096568C">
        <w:rPr>
          <w:sz w:val="26"/>
          <w:szCs w:val="26"/>
        </w:rPr>
        <w:t xml:space="preserve">DE </w:t>
      </w:r>
      <w:r w:rsidRPr="0096568C">
        <w:rPr>
          <w:sz w:val="26"/>
          <w:szCs w:val="26"/>
        </w:rPr>
        <w:t>2</w:t>
      </w:r>
      <w:r w:rsidR="002555FE" w:rsidRPr="0096568C">
        <w:rPr>
          <w:sz w:val="26"/>
          <w:szCs w:val="26"/>
        </w:rPr>
        <w:t>1</w:t>
      </w:r>
      <w:r w:rsidR="00BB004F" w:rsidRPr="0096568C">
        <w:rPr>
          <w:sz w:val="26"/>
          <w:szCs w:val="26"/>
        </w:rPr>
        <w:t>/</w:t>
      </w:r>
      <w:r w:rsidR="00452D91" w:rsidRPr="0096568C">
        <w:rPr>
          <w:sz w:val="26"/>
          <w:szCs w:val="26"/>
        </w:rPr>
        <w:t>0</w:t>
      </w:r>
      <w:r w:rsidRPr="0096568C">
        <w:rPr>
          <w:sz w:val="26"/>
          <w:szCs w:val="26"/>
        </w:rPr>
        <w:t>9</w:t>
      </w:r>
      <w:r w:rsidR="00BB004F" w:rsidRPr="0096568C">
        <w:rPr>
          <w:sz w:val="26"/>
          <w:szCs w:val="26"/>
        </w:rPr>
        <w:t>/</w:t>
      </w:r>
      <w:r w:rsidR="00F229D8" w:rsidRPr="0096568C">
        <w:rPr>
          <w:sz w:val="26"/>
          <w:szCs w:val="26"/>
        </w:rPr>
        <w:t>201</w:t>
      </w:r>
      <w:r w:rsidR="00CC5472" w:rsidRPr="0096568C">
        <w:rPr>
          <w:sz w:val="26"/>
          <w:szCs w:val="26"/>
        </w:rPr>
        <w:t>8</w:t>
      </w:r>
      <w:r w:rsidR="00BB004F" w:rsidRPr="0096568C">
        <w:rPr>
          <w:sz w:val="26"/>
          <w:szCs w:val="26"/>
        </w:rPr>
        <w:t xml:space="preserve"> </w:t>
      </w:r>
      <w:r w:rsidR="00C13A89" w:rsidRPr="0096568C">
        <w:rPr>
          <w:sz w:val="26"/>
          <w:szCs w:val="26"/>
        </w:rPr>
        <w:t>a</w:t>
      </w:r>
      <w:r w:rsidR="00BB004F" w:rsidRPr="0096568C">
        <w:rPr>
          <w:sz w:val="26"/>
          <w:szCs w:val="26"/>
        </w:rPr>
        <w:t xml:space="preserve"> </w:t>
      </w:r>
      <w:r w:rsidR="002555FE" w:rsidRPr="0096568C">
        <w:rPr>
          <w:sz w:val="26"/>
          <w:szCs w:val="26"/>
        </w:rPr>
        <w:t>20</w:t>
      </w:r>
      <w:r w:rsidR="00BB004F" w:rsidRPr="0096568C">
        <w:rPr>
          <w:sz w:val="26"/>
          <w:szCs w:val="26"/>
        </w:rPr>
        <w:t>/</w:t>
      </w:r>
      <w:r w:rsidRPr="0096568C">
        <w:rPr>
          <w:sz w:val="26"/>
          <w:szCs w:val="26"/>
        </w:rPr>
        <w:t>10</w:t>
      </w:r>
      <w:r w:rsidR="00BB004F" w:rsidRPr="0096568C">
        <w:rPr>
          <w:sz w:val="26"/>
          <w:szCs w:val="26"/>
        </w:rPr>
        <w:t>/</w:t>
      </w:r>
      <w:r w:rsidR="00F229D8" w:rsidRPr="0096568C">
        <w:rPr>
          <w:sz w:val="26"/>
          <w:szCs w:val="26"/>
        </w:rPr>
        <w:t>201</w:t>
      </w:r>
      <w:r w:rsidR="00CC5472" w:rsidRPr="0096568C">
        <w:rPr>
          <w:sz w:val="26"/>
          <w:szCs w:val="26"/>
        </w:rPr>
        <w:t>8</w:t>
      </w:r>
    </w:p>
    <w:p w:rsidR="001F74A0" w:rsidRDefault="00BD5993" w:rsidP="00CF534B">
      <w:pPr>
        <w:ind w:left="4111"/>
        <w:jc w:val="center"/>
        <w:rPr>
          <w:sz w:val="26"/>
          <w:szCs w:val="26"/>
        </w:rPr>
      </w:pPr>
      <w:r>
        <w:rPr>
          <w:sz w:val="26"/>
          <w:szCs w:val="26"/>
        </w:rPr>
        <w:t>NOME</w:t>
      </w:r>
      <w:r w:rsidR="000032F4">
        <w:rPr>
          <w:sz w:val="26"/>
          <w:szCs w:val="26"/>
        </w:rPr>
        <w:t xml:space="preserve">: AGRICOPEL COM. DE DERIVADOS DE PETRÓLEO </w:t>
      </w:r>
      <w:r w:rsidR="009B4326">
        <w:rPr>
          <w:sz w:val="26"/>
          <w:szCs w:val="26"/>
        </w:rPr>
        <w:t>LTDA.</w:t>
      </w:r>
    </w:p>
    <w:p w:rsidR="00100689" w:rsidRDefault="00100689" w:rsidP="00CF534B">
      <w:pPr>
        <w:ind w:left="4111"/>
        <w:jc w:val="center"/>
        <w:rPr>
          <w:sz w:val="26"/>
          <w:szCs w:val="26"/>
        </w:rPr>
      </w:pPr>
    </w:p>
    <w:p w:rsidR="00100689" w:rsidRDefault="00100689" w:rsidP="00CF534B">
      <w:pPr>
        <w:ind w:left="4111"/>
        <w:jc w:val="center"/>
        <w:rPr>
          <w:sz w:val="26"/>
          <w:szCs w:val="26"/>
        </w:rPr>
      </w:pPr>
    </w:p>
    <w:tbl>
      <w:tblPr>
        <w:tblW w:w="14317" w:type="dxa"/>
        <w:tblInd w:w="-12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5456"/>
        <w:gridCol w:w="1489"/>
        <w:gridCol w:w="5670"/>
      </w:tblGrid>
      <w:tr w:rsidR="00BD5993" w:rsidTr="00CF534B">
        <w:trPr>
          <w:trHeight w:val="375"/>
        </w:trPr>
        <w:tc>
          <w:tcPr>
            <w:tcW w:w="7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D5993" w:rsidRPr="00BD5993" w:rsidRDefault="00BD5993" w:rsidP="00BD5993">
            <w:pPr>
              <w:pStyle w:val="Legenda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r w:rsidRPr="00BD5993">
              <w:rPr>
                <w:rFonts w:cs="Arial"/>
                <w:color w:val="000000"/>
                <w:szCs w:val="24"/>
              </w:rPr>
              <w:t>(</w:t>
            </w:r>
            <w:r w:rsidR="000032F4">
              <w:rPr>
                <w:rFonts w:cs="Arial"/>
                <w:color w:val="000000"/>
                <w:szCs w:val="24"/>
              </w:rPr>
              <w:t>X</w:t>
            </w:r>
            <w:r w:rsidRPr="00BD5993">
              <w:rPr>
                <w:rFonts w:cs="Arial"/>
                <w:color w:val="000000"/>
                <w:szCs w:val="24"/>
              </w:rPr>
              <w:t xml:space="preserve">) agente econômico </w:t>
            </w:r>
          </w:p>
          <w:p w:rsidR="00BD5993" w:rsidRPr="00BD5993" w:rsidRDefault="00BD5993" w:rsidP="00CF534B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 xml:space="preserve">(  </w:t>
            </w:r>
            <w:proofErr w:type="gramEnd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) consumidor ou usuário</w:t>
            </w:r>
          </w:p>
        </w:tc>
        <w:tc>
          <w:tcPr>
            <w:tcW w:w="71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5993" w:rsidRPr="00BD5993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proofErr w:type="gramStart"/>
            <w:r w:rsidRPr="00BD5993">
              <w:rPr>
                <w:rFonts w:cs="Arial"/>
                <w:color w:val="000000"/>
                <w:szCs w:val="24"/>
              </w:rPr>
              <w:t xml:space="preserve">(  </w:t>
            </w:r>
            <w:proofErr w:type="gramEnd"/>
            <w:r w:rsidRPr="00BD5993">
              <w:rPr>
                <w:rFonts w:cs="Arial"/>
                <w:color w:val="000000"/>
                <w:szCs w:val="24"/>
              </w:rPr>
              <w:t>) representante órgão de classe ou associação</w:t>
            </w:r>
          </w:p>
          <w:p w:rsidR="00BD5993" w:rsidRPr="00BD5993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proofErr w:type="gramStart"/>
            <w:r w:rsidRPr="00BD5993">
              <w:rPr>
                <w:rFonts w:cs="Arial"/>
                <w:color w:val="000000"/>
                <w:szCs w:val="24"/>
              </w:rPr>
              <w:t xml:space="preserve">(  </w:t>
            </w:r>
            <w:proofErr w:type="gramEnd"/>
            <w:r w:rsidRPr="00BD5993">
              <w:rPr>
                <w:rFonts w:cs="Arial"/>
                <w:color w:val="000000"/>
                <w:szCs w:val="24"/>
              </w:rPr>
              <w:t>) representante de instituição governamental</w:t>
            </w:r>
          </w:p>
          <w:p w:rsidR="00BD5993" w:rsidRPr="00BD5993" w:rsidRDefault="00BD5993" w:rsidP="00100689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 xml:space="preserve">(  </w:t>
            </w:r>
            <w:proofErr w:type="gramEnd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) representante de órgãos de defesa do consumido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r</w:t>
            </w:r>
          </w:p>
        </w:tc>
      </w:tr>
      <w:tr w:rsidR="004602FD" w:rsidTr="00335A11">
        <w:trPr>
          <w:trHeight w:val="716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B56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B004F" w:rsidRPr="00BD5993" w:rsidRDefault="00153BBA" w:rsidP="00A267DE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 xml:space="preserve">Tomada Pública de Contribuições sobre a </w:t>
            </w:r>
            <w:r w:rsidR="00A267DE">
              <w:rPr>
                <w:rFonts w:ascii="Arial" w:hAnsi="Arial" w:cs="Arial"/>
                <w:bCs/>
                <w:sz w:val="28"/>
                <w:szCs w:val="28"/>
              </w:rPr>
              <w:t>verticalização da cadeia de distribuição de combustíveis</w:t>
            </w:r>
            <w:r w:rsidR="00CC5472" w:rsidRPr="00CC5472">
              <w:rPr>
                <w:rFonts w:ascii="Arial" w:hAnsi="Arial" w:cs="Arial"/>
                <w:bCs/>
                <w:sz w:val="28"/>
                <w:szCs w:val="28"/>
              </w:rPr>
              <w:t>.</w:t>
            </w:r>
          </w:p>
        </w:tc>
      </w:tr>
      <w:tr w:rsidR="00C13A89" w:rsidTr="00C13A89">
        <w:trPr>
          <w:trHeight w:val="3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96874" w:rsidP="00ED771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ASSUNTO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13A89" w:rsidP="00C9687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BB004F">
              <w:rPr>
                <w:rFonts w:ascii="Arial" w:hAnsi="Arial" w:cs="Arial"/>
                <w:bCs/>
              </w:rPr>
              <w:t>PROPOSTA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13A89" w:rsidP="00ED771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BB004F">
              <w:rPr>
                <w:rFonts w:ascii="Arial" w:hAnsi="Arial" w:cs="Arial"/>
                <w:bCs/>
              </w:rPr>
              <w:t>JUSTIFICATIVA</w:t>
            </w:r>
          </w:p>
        </w:tc>
      </w:tr>
      <w:tr w:rsidR="00C13A89" w:rsidTr="00C13A89">
        <w:trPr>
          <w:trHeight w:val="56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  <w:p w:rsidR="00C13A89" w:rsidRDefault="00E2666D" w:rsidP="00E2666D">
            <w:pPr>
              <w:jc w:val="center"/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Verticalização na cadeia de Distribuição de Combustíveis.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323BEB" w:rsidRDefault="00C13A89" w:rsidP="000303C4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8E3000">
              <w:rPr>
                <w:rFonts w:ascii="Arial" w:hAnsi="Arial" w:cs="Arial"/>
                <w:b/>
              </w:rPr>
              <w:t> </w:t>
            </w:r>
            <w:r w:rsidR="008E3000" w:rsidRPr="00323B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Vedação da comercialização direta de produtores e importadores a revendedores.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E3000" w:rsidRPr="009B4326" w:rsidRDefault="008E3000" w:rsidP="008E3000">
            <w:pPr>
              <w:rPr>
                <w:rFonts w:ascii="Arial" w:hAnsi="Arial" w:cs="Arial"/>
                <w:sz w:val="22"/>
                <w:szCs w:val="22"/>
              </w:rPr>
            </w:pPr>
            <w:r w:rsidRPr="009B4326">
              <w:rPr>
                <w:rFonts w:ascii="Arial" w:hAnsi="Arial" w:cs="Arial"/>
                <w:sz w:val="22"/>
                <w:szCs w:val="22"/>
              </w:rPr>
              <w:t xml:space="preserve">Em relação ao acesso a outras fontes de suprimento, entendemos que atualmente o abastecimento nas refinarias se demonstra de todo inviável, por uma questão operacional, devido ao carregamento de carros-tanque, e também de logística, pela localização das refinarias, e mesmo que se tornasse viável, beneficiaria somente um número reduzido de TRR, e ainda assim, para o atendimento deste número reduzido de TRR as refinarias teriam que introduzir uma série de alterações em sua estrutura operacional, administrativa e financeira.   </w:t>
            </w:r>
          </w:p>
          <w:p w:rsidR="008E3000" w:rsidRPr="009B4326" w:rsidRDefault="008E3000" w:rsidP="008E3000">
            <w:pPr>
              <w:rPr>
                <w:rFonts w:ascii="Arial" w:hAnsi="Arial" w:cs="Arial"/>
                <w:sz w:val="22"/>
                <w:szCs w:val="22"/>
              </w:rPr>
            </w:pPr>
            <w:r w:rsidRPr="009B432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C13A89" w:rsidRPr="009B4326" w:rsidRDefault="008E3000" w:rsidP="008E3000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9B4326">
              <w:rPr>
                <w:rFonts w:ascii="Arial" w:hAnsi="Arial" w:cs="Arial"/>
                <w:sz w:val="22"/>
                <w:szCs w:val="22"/>
              </w:rPr>
              <w:t xml:space="preserve">Acrescente-se a esses argumentos a dificuldade de acesso do TRR ao biodiesel, participando de leilões, e a estrutura para a mistura e controle de qualidade do Óleo Diesel </w:t>
            </w:r>
            <w:proofErr w:type="gramStart"/>
            <w:r w:rsidRPr="009B4326">
              <w:rPr>
                <w:rFonts w:ascii="Arial" w:hAnsi="Arial" w:cs="Arial"/>
                <w:sz w:val="22"/>
                <w:szCs w:val="22"/>
              </w:rPr>
              <w:t>B</w:t>
            </w:r>
            <w:proofErr w:type="gramEnd"/>
          </w:p>
        </w:tc>
      </w:tr>
      <w:tr w:rsidR="00C13A89" w:rsidTr="00C13A89">
        <w:trPr>
          <w:trHeight w:val="70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E2666D" w:rsidRDefault="00C13A89" w:rsidP="00E2666D">
            <w:pPr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  <w:p w:rsidR="00C13A89" w:rsidRDefault="00E2666D" w:rsidP="00E2666D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Verticalização na cadeia de Distribuição de Combustíveis.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323BEB" w:rsidRDefault="00C13A89" w:rsidP="000303C4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323BEB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="008E3000" w:rsidRPr="00323BEB">
              <w:rPr>
                <w:rFonts w:ascii="Arial" w:hAnsi="Arial" w:cs="Arial"/>
                <w:b/>
                <w:sz w:val="22"/>
                <w:szCs w:val="22"/>
              </w:rPr>
              <w:t xml:space="preserve">Vedação de que os </w:t>
            </w:r>
            <w:proofErr w:type="spellStart"/>
            <w:r w:rsidR="008E3000" w:rsidRPr="00323BEB">
              <w:rPr>
                <w:rFonts w:ascii="Arial" w:hAnsi="Arial" w:cs="Arial"/>
                <w:b/>
                <w:sz w:val="22"/>
                <w:szCs w:val="22"/>
              </w:rPr>
              <w:t>TRRs</w:t>
            </w:r>
            <w:proofErr w:type="spellEnd"/>
            <w:r w:rsidR="008E3000" w:rsidRPr="00323BEB">
              <w:rPr>
                <w:rFonts w:ascii="Arial" w:hAnsi="Arial" w:cs="Arial"/>
                <w:b/>
                <w:sz w:val="22"/>
                <w:szCs w:val="22"/>
              </w:rPr>
              <w:t xml:space="preserve"> comercializem outros combustíveis, além de óleo diesel;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9B4326" w:rsidRDefault="00323BEB" w:rsidP="00323BEB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9B4326">
              <w:rPr>
                <w:rFonts w:ascii="Arial" w:hAnsi="Arial" w:cs="Arial"/>
                <w:sz w:val="22"/>
                <w:szCs w:val="22"/>
              </w:rPr>
              <w:t>Em</w:t>
            </w:r>
            <w:r w:rsidR="008E3000" w:rsidRPr="009B4326">
              <w:rPr>
                <w:rFonts w:ascii="Arial" w:hAnsi="Arial" w:cs="Arial"/>
                <w:sz w:val="22"/>
                <w:szCs w:val="22"/>
              </w:rPr>
              <w:t xml:space="preserve"> relação à possibilidade do TRR comercializar outros combustíveis, além de óleo diesel, óleos combustíveis e querosene, considera que o mercado de gasolina e álcool está plenamente atendido, pelo segmento distribuidor e pela revenda varejista, e sua participação no atendimento domiciliar a consumidores detentores de Pontos de Abastecimento seria insignificante, em nada contribuindo para o objetivo perseguido pelo Grupo de Trabalho constituído pela ANP e CADE.</w:t>
            </w:r>
          </w:p>
        </w:tc>
      </w:tr>
      <w:tr w:rsidR="00C13A89" w:rsidTr="00C13A89">
        <w:trPr>
          <w:trHeight w:val="67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2666D" w:rsidRDefault="00C13A89" w:rsidP="00E2666D">
            <w:pPr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 </w:t>
            </w:r>
          </w:p>
          <w:p w:rsidR="00C13A89" w:rsidRDefault="00E2666D" w:rsidP="00E2666D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Verticalização na cadeia de Distribuição de Combustíveis.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323BEB" w:rsidRDefault="00C13A89" w:rsidP="000303C4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323BEB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="008E3000" w:rsidRPr="00323BEB">
              <w:rPr>
                <w:rFonts w:ascii="Arial" w:hAnsi="Arial" w:cs="Arial"/>
                <w:b/>
                <w:sz w:val="22"/>
                <w:szCs w:val="22"/>
              </w:rPr>
              <w:t xml:space="preserve">Manutenção da obrigatoriedade de que os </w:t>
            </w:r>
            <w:proofErr w:type="spellStart"/>
            <w:r w:rsidR="008E3000" w:rsidRPr="00323BEB">
              <w:rPr>
                <w:rFonts w:ascii="Arial" w:hAnsi="Arial" w:cs="Arial"/>
                <w:b/>
                <w:sz w:val="22"/>
                <w:szCs w:val="22"/>
              </w:rPr>
              <w:t>TRRs</w:t>
            </w:r>
            <w:proofErr w:type="spellEnd"/>
            <w:r w:rsidR="008E3000" w:rsidRPr="00323BEB">
              <w:rPr>
                <w:rFonts w:ascii="Arial" w:hAnsi="Arial" w:cs="Arial"/>
                <w:b/>
                <w:sz w:val="22"/>
                <w:szCs w:val="22"/>
              </w:rPr>
              <w:t xml:space="preserve"> comprem diretamente de distribuidores;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23BEB" w:rsidRPr="009B4326" w:rsidRDefault="00323BEB" w:rsidP="00323BEB">
            <w:pPr>
              <w:rPr>
                <w:rFonts w:ascii="Arial" w:hAnsi="Arial" w:cs="Arial"/>
                <w:sz w:val="22"/>
                <w:szCs w:val="22"/>
              </w:rPr>
            </w:pPr>
            <w:r w:rsidRPr="009B4326">
              <w:rPr>
                <w:rFonts w:ascii="Arial" w:hAnsi="Arial" w:cs="Arial"/>
                <w:sz w:val="22"/>
                <w:szCs w:val="22"/>
              </w:rPr>
              <w:t xml:space="preserve">Atualmente as Distribuidoras já garantem o suprimento do TRR com os produtos importados, e a atuação direta dos importadores ao mercado TRR só se tornaria atraente após uma radical reforma tributária e a ampliação na logística para o recebimento dos produtos importados, além de uma política de preços transparente da refinaria, sem oscilações constantes e inesperadas que possam comprometer investimentos e gerar prejuízos aos importadores. </w:t>
            </w:r>
          </w:p>
          <w:p w:rsidR="00C13A89" w:rsidRPr="009B4326" w:rsidRDefault="00C13A89" w:rsidP="000303C4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C13A89" w:rsidTr="00C13A89">
        <w:trPr>
          <w:trHeight w:val="66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  <w:p w:rsidR="00E2666D" w:rsidRDefault="00C13A89" w:rsidP="00E2666D">
            <w:pPr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  <w:p w:rsidR="00C13A89" w:rsidRDefault="00E2666D" w:rsidP="00E2666D">
            <w:pPr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Verticalização na cadeia de Distribuição de Combustíveis.</w:t>
            </w:r>
            <w:bookmarkStart w:id="0" w:name="_GoBack"/>
            <w:bookmarkEnd w:id="0"/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323BEB" w:rsidRDefault="00C13A89" w:rsidP="000303C4">
            <w:pPr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</w:pPr>
            <w:r w:rsidRPr="00323BEB">
              <w:rPr>
                <w:rFonts w:ascii="Arial" w:hAnsi="Arial" w:cs="Arial"/>
                <w:b/>
                <w:color w:val="000000"/>
                <w:sz w:val="22"/>
                <w:szCs w:val="22"/>
              </w:rPr>
              <w:t> </w:t>
            </w:r>
            <w:r w:rsidR="008E3000" w:rsidRPr="00323BEB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Manutenção das limitações de comercialização para distribuidores e </w:t>
            </w:r>
            <w:proofErr w:type="spellStart"/>
            <w:r w:rsidR="008E3000" w:rsidRPr="00323BEB">
              <w:rPr>
                <w:rFonts w:ascii="Arial" w:hAnsi="Arial" w:cs="Arial"/>
                <w:b/>
                <w:color w:val="000000"/>
                <w:sz w:val="22"/>
                <w:szCs w:val="22"/>
              </w:rPr>
              <w:t>TRRs</w:t>
            </w:r>
            <w:proofErr w:type="spellEnd"/>
            <w:r w:rsidR="008E3000" w:rsidRPr="00323BEB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no que se refere aos pontos de abastecimento nos termos da Resolução ANP n. 34, de </w:t>
            </w:r>
            <w:proofErr w:type="gramStart"/>
            <w:r w:rsidR="008E3000" w:rsidRPr="00323BEB"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  <w:proofErr w:type="gramEnd"/>
            <w:r w:rsidR="008E3000" w:rsidRPr="00323BEB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. </w:t>
            </w:r>
            <w:proofErr w:type="gramStart"/>
            <w:r w:rsidR="008E3000" w:rsidRPr="00323BEB">
              <w:rPr>
                <w:rFonts w:ascii="Arial" w:hAnsi="Arial" w:cs="Arial"/>
                <w:b/>
                <w:color w:val="000000"/>
                <w:sz w:val="22"/>
                <w:szCs w:val="22"/>
              </w:rPr>
              <w:t>de</w:t>
            </w:r>
            <w:proofErr w:type="gramEnd"/>
            <w:r w:rsidR="008E3000" w:rsidRPr="00323BEB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novembro de 2007.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9B4326" w:rsidRDefault="008E3000" w:rsidP="000303C4">
            <w:pPr>
              <w:rPr>
                <w:rFonts w:ascii="Arial" w:hAnsi="Arial" w:cs="Arial"/>
                <w:sz w:val="22"/>
                <w:szCs w:val="22"/>
              </w:rPr>
            </w:pPr>
            <w:r w:rsidRPr="009B4326">
              <w:rPr>
                <w:rFonts w:ascii="Arial" w:hAnsi="Arial" w:cs="Arial"/>
                <w:sz w:val="22"/>
                <w:szCs w:val="22"/>
              </w:rPr>
              <w:t xml:space="preserve">É enganosa a percepção de que a assimetria regulatória entre as atividades de distribuição e TRR, e na qual se insere o regulamento da Resolução ANP n. 34, cause entraves à concorrência, em prejuízo do consumidor; ao contrário, </w:t>
            </w:r>
            <w:proofErr w:type="gramStart"/>
            <w:r w:rsidRPr="009B4326">
              <w:rPr>
                <w:rFonts w:ascii="Arial" w:hAnsi="Arial" w:cs="Arial"/>
                <w:sz w:val="22"/>
                <w:szCs w:val="22"/>
              </w:rPr>
              <w:t>garante</w:t>
            </w:r>
            <w:proofErr w:type="gramEnd"/>
            <w:r w:rsidRPr="009B4326">
              <w:rPr>
                <w:rFonts w:ascii="Arial" w:hAnsi="Arial" w:cs="Arial"/>
                <w:sz w:val="22"/>
                <w:szCs w:val="22"/>
              </w:rPr>
              <w:t xml:space="preserve"> benefícios em termos de agilidade, segurança e pleno abastecimento dos consumidores, de qualquer volume, principalmente no interior do país, distantes dos grandes centros e das Bases de Distribuição, tornando desinteressante o atendimento pelas Distribuidoras.</w:t>
            </w:r>
          </w:p>
          <w:p w:rsidR="008E3000" w:rsidRPr="009B4326" w:rsidRDefault="008E3000" w:rsidP="000303C4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9B4326">
              <w:rPr>
                <w:rFonts w:ascii="Arial" w:eastAsia="Arial Unicode MS" w:hAnsi="Arial" w:cs="Arial"/>
                <w:sz w:val="22"/>
                <w:szCs w:val="22"/>
              </w:rPr>
              <w:t>O benefício do consumidor, neste mercado tão competitivo entre os segmentos, com forte concorrência entre os agentes de um mesmo segmento em relação a preço e qualidade dos combustíveis, só é possível em razão dos princípios da livre iniciativa, da livre concorrência e o pleno controle do poder econômico, para evitar práticas abusivas.</w:t>
            </w:r>
          </w:p>
        </w:tc>
      </w:tr>
    </w:tbl>
    <w:p w:rsidR="004602FD" w:rsidRPr="00100689" w:rsidRDefault="00100689" w:rsidP="00100689">
      <w:pPr>
        <w:jc w:val="center"/>
        <w:rPr>
          <w:sz w:val="26"/>
          <w:szCs w:val="26"/>
        </w:rPr>
      </w:pPr>
      <w:r>
        <w:rPr>
          <w:rFonts w:ascii="Arial" w:eastAsia="Arial Unicode MS" w:hAnsi="Arial" w:cs="Arial"/>
          <w:sz w:val="24"/>
          <w:szCs w:val="24"/>
        </w:rPr>
        <w:t xml:space="preserve">Este formulário deverá ser encaminhado à ANP para o endereço eletrônico: </w:t>
      </w:r>
      <w:r w:rsidR="00C96874" w:rsidRPr="00C96874">
        <w:rPr>
          <w:rFonts w:ascii="Arial" w:eastAsia="Arial Unicode MS" w:hAnsi="Arial" w:cs="Arial"/>
          <w:i/>
          <w:sz w:val="24"/>
          <w:szCs w:val="24"/>
        </w:rPr>
        <w:t>tpc_</w:t>
      </w:r>
      <w:r w:rsidR="00A267DE">
        <w:rPr>
          <w:rFonts w:ascii="Arial" w:eastAsia="Arial Unicode MS" w:hAnsi="Arial" w:cs="Arial"/>
          <w:i/>
          <w:sz w:val="24"/>
          <w:szCs w:val="24"/>
        </w:rPr>
        <w:t>verticalizacao</w:t>
      </w:r>
      <w:r w:rsidR="00C96874" w:rsidRPr="00C96874">
        <w:rPr>
          <w:rFonts w:ascii="Arial" w:eastAsia="Arial Unicode MS" w:hAnsi="Arial" w:cs="Arial"/>
          <w:i/>
          <w:sz w:val="24"/>
          <w:szCs w:val="24"/>
        </w:rPr>
        <w:t>@anp.gov.br</w:t>
      </w:r>
      <w:r w:rsidR="00570C4C">
        <w:rPr>
          <w:rFonts w:ascii="Arial" w:eastAsia="Arial Unicode MS" w:hAnsi="Arial" w:cs="Arial"/>
          <w:sz w:val="24"/>
          <w:szCs w:val="24"/>
        </w:rPr>
        <w:t>.</w:t>
      </w:r>
    </w:p>
    <w:sectPr w:rsidR="004602FD" w:rsidRPr="00100689" w:rsidSect="009B4326">
      <w:pgSz w:w="16840" w:h="11907" w:orient="landscape" w:code="9"/>
      <w:pgMar w:top="1418" w:right="1418" w:bottom="426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171446"/>
    <w:multiLevelType w:val="multilevel"/>
    <w:tmpl w:val="7B2833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741813C9"/>
    <w:multiLevelType w:val="multilevel"/>
    <w:tmpl w:val="DF6E21D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42C"/>
    <w:rsid w:val="000032F4"/>
    <w:rsid w:val="0002343D"/>
    <w:rsid w:val="000303C4"/>
    <w:rsid w:val="00050F3F"/>
    <w:rsid w:val="000873C6"/>
    <w:rsid w:val="000C72BB"/>
    <w:rsid w:val="000C742C"/>
    <w:rsid w:val="000D4114"/>
    <w:rsid w:val="000F43D7"/>
    <w:rsid w:val="00100689"/>
    <w:rsid w:val="0010535D"/>
    <w:rsid w:val="001312BC"/>
    <w:rsid w:val="00153BBA"/>
    <w:rsid w:val="001C5D32"/>
    <w:rsid w:val="001F74A0"/>
    <w:rsid w:val="002109D6"/>
    <w:rsid w:val="0025311C"/>
    <w:rsid w:val="002555FE"/>
    <w:rsid w:val="0026582D"/>
    <w:rsid w:val="002808DC"/>
    <w:rsid w:val="00287B41"/>
    <w:rsid w:val="00323BEB"/>
    <w:rsid w:val="00335A11"/>
    <w:rsid w:val="004017EF"/>
    <w:rsid w:val="00452D91"/>
    <w:rsid w:val="004602FD"/>
    <w:rsid w:val="00482F43"/>
    <w:rsid w:val="00494A88"/>
    <w:rsid w:val="004C5AA8"/>
    <w:rsid w:val="004E6BA1"/>
    <w:rsid w:val="00570C4C"/>
    <w:rsid w:val="00586DD3"/>
    <w:rsid w:val="005E2BE6"/>
    <w:rsid w:val="0063117B"/>
    <w:rsid w:val="006C7878"/>
    <w:rsid w:val="006E69BF"/>
    <w:rsid w:val="007220DF"/>
    <w:rsid w:val="00735912"/>
    <w:rsid w:val="00754009"/>
    <w:rsid w:val="00762754"/>
    <w:rsid w:val="00834A5C"/>
    <w:rsid w:val="0085243A"/>
    <w:rsid w:val="00852D24"/>
    <w:rsid w:val="008C0A6C"/>
    <w:rsid w:val="008E1D4F"/>
    <w:rsid w:val="008E3000"/>
    <w:rsid w:val="0096568C"/>
    <w:rsid w:val="009A7203"/>
    <w:rsid w:val="009B4326"/>
    <w:rsid w:val="009B4815"/>
    <w:rsid w:val="009E5AD5"/>
    <w:rsid w:val="009F4F0E"/>
    <w:rsid w:val="00A225FB"/>
    <w:rsid w:val="00A267DE"/>
    <w:rsid w:val="00A8005F"/>
    <w:rsid w:val="00A94E85"/>
    <w:rsid w:val="00AB6177"/>
    <w:rsid w:val="00AC5BC1"/>
    <w:rsid w:val="00AF2899"/>
    <w:rsid w:val="00B4490B"/>
    <w:rsid w:val="00B74C89"/>
    <w:rsid w:val="00B87441"/>
    <w:rsid w:val="00BB004F"/>
    <w:rsid w:val="00BC59FF"/>
    <w:rsid w:val="00BD479F"/>
    <w:rsid w:val="00BD5993"/>
    <w:rsid w:val="00C02634"/>
    <w:rsid w:val="00C13A89"/>
    <w:rsid w:val="00C74BAD"/>
    <w:rsid w:val="00C96874"/>
    <w:rsid w:val="00CB4E90"/>
    <w:rsid w:val="00CC5472"/>
    <w:rsid w:val="00CD7D9E"/>
    <w:rsid w:val="00CF2605"/>
    <w:rsid w:val="00CF534B"/>
    <w:rsid w:val="00D060D3"/>
    <w:rsid w:val="00D11D93"/>
    <w:rsid w:val="00DC0FFA"/>
    <w:rsid w:val="00DE64B2"/>
    <w:rsid w:val="00E06319"/>
    <w:rsid w:val="00E2666D"/>
    <w:rsid w:val="00E51418"/>
    <w:rsid w:val="00EA1B67"/>
    <w:rsid w:val="00ED7714"/>
    <w:rsid w:val="00F026F8"/>
    <w:rsid w:val="00F229D8"/>
    <w:rsid w:val="00FB0E77"/>
    <w:rsid w:val="00FD2C11"/>
    <w:rsid w:val="00FD3A8A"/>
    <w:rsid w:val="00FD66A5"/>
    <w:rsid w:val="00FF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BE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CF2605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semiHidden/>
    <w:rsid w:val="00CF2605"/>
    <w:rPr>
      <w:color w:val="000000"/>
      <w:sz w:val="24"/>
      <w:szCs w:val="24"/>
    </w:rPr>
  </w:style>
  <w:style w:type="paragraph" w:styleId="Legenda">
    <w:name w:val="caption"/>
    <w:basedOn w:val="Normal"/>
    <w:next w:val="Normal"/>
    <w:qFormat/>
    <w:rsid w:val="00BD5993"/>
    <w:rPr>
      <w:rFonts w:ascii="Arial" w:hAnsi="Arial"/>
      <w:sz w:val="24"/>
    </w:rPr>
  </w:style>
  <w:style w:type="character" w:styleId="Hyperlink">
    <w:name w:val="Hyperlink"/>
    <w:basedOn w:val="Fontepargpadro"/>
    <w:uiPriority w:val="99"/>
    <w:unhideWhenUsed/>
    <w:rsid w:val="00100689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23BE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23B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BE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CF2605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semiHidden/>
    <w:rsid w:val="00CF2605"/>
    <w:rPr>
      <w:color w:val="000000"/>
      <w:sz w:val="24"/>
      <w:szCs w:val="24"/>
    </w:rPr>
  </w:style>
  <w:style w:type="paragraph" w:styleId="Legenda">
    <w:name w:val="caption"/>
    <w:basedOn w:val="Normal"/>
    <w:next w:val="Normal"/>
    <w:qFormat/>
    <w:rsid w:val="00BD5993"/>
    <w:rPr>
      <w:rFonts w:ascii="Arial" w:hAnsi="Arial"/>
      <w:sz w:val="24"/>
    </w:rPr>
  </w:style>
  <w:style w:type="character" w:styleId="Hyperlink">
    <w:name w:val="Hyperlink"/>
    <w:basedOn w:val="Fontepargpadro"/>
    <w:uiPriority w:val="99"/>
    <w:unhideWhenUsed/>
    <w:rsid w:val="00100689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23BE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23B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584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CONSULTA PÚBLICA PARA REVISÃO DA PORTARIA ANP 248/99</vt:lpstr>
    </vt:vector>
  </TitlesOfParts>
  <Company>Anp</Company>
  <LinksUpToDate>false</LinksUpToDate>
  <CharactersWithSpaces>3733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 PÚBLICA PARA REVISÃO DA PORTARIA ANP 248/99</dc:title>
  <dc:creator>Anp</dc:creator>
  <cp:lastModifiedBy>Usuario</cp:lastModifiedBy>
  <cp:revision>4</cp:revision>
  <cp:lastPrinted>2018-11-19T13:50:00Z</cp:lastPrinted>
  <dcterms:created xsi:type="dcterms:W3CDTF">2018-11-19T13:55:00Z</dcterms:created>
  <dcterms:modified xsi:type="dcterms:W3CDTF">2018-11-19T19:33:00Z</dcterms:modified>
</cp:coreProperties>
</file>